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Bdr>
          <w:bottom w:val="single" w:color="111111" w:sz="8"/>
        </w:pBdr>
        <w:spacing w:after="200" w:line="360"/>
        <w:jc w:val="center"/>
      </w:pPr>
      <w:r>
        <w:rPr>
          <w:b/>
          <w:bCs/>
          <w:color w:val="111111"/>
          <w:sz w:val="36"/>
          <w:szCs w:val="36"/>
        </w:rPr>
        <w:t xml:space="preserve">Je résous un problème</w:t>
      </w:r>
    </w:p>
    <w:tbl>
      <w:tblPr>
        <w:tblW w:type="pct" w:w="100%"/>
        <w:tblBorders>
          <w:top w:val="none" w:color="BFBFBF" w:sz="4"/>
          <w:left w:val="none" w:color="BFBFBF" w:sz="4"/>
          <w:bottom w:val="none" w:color="BFBFBF" w:sz="4"/>
          <w:right w:val="none" w:color="BFBFBF" w:sz="4"/>
          <w:insideH w:val="none" w:color="BFBFBF" w:sz="4"/>
          <w:insideV w:val="none" w:color="BFBFBF" w:sz="4"/>
        </w:tblBorders>
        <w:tblLayout w:type="fixed"/>
      </w:tblPr>
      <w:tblGrid>
        <w:gridCol w:w="6811"/>
        <w:gridCol w:w="2649"/>
      </w:tblGrid>
      <w:tr>
        <w:trPr>
          <w:cantSplit/>
          <w:tblHeader w:val="false"/>
        </w:trPr>
        <w:tc>
          <w:tcPr>
            <w:tcW w:type="pct" w:w="72%"/>
            <w:tcMar>
              <w:top w:type="dxa" w:w="20"/>
              <w:left w:type="dxa" w:w="70"/>
              <w:bottom w:type="dxa" w:w="20"/>
              <w:right w:type="dxa" w:w="70"/>
            </w:tcMar>
          </w:tcPr>
          <w:p>
            <w:pPr>
              <w:spacing w:after="0" w:before="0" w:line="240"/>
              <w:jc w:val="left"/>
            </w:pPr>
            <w:r>
              <w:rPr>
                <w:b/>
                <w:bCs/>
                <w:i w:val="false"/>
                <w:iCs w:val="false"/>
                <w:color w:val="111111"/>
                <w:sz w:val="20"/>
                <w:szCs w:val="20"/>
              </w:rPr>
              <w:t xml:space="preserve">NOM - Prénom : ……………………………………………………</w:t>
            </w:r>
          </w:p>
        </w:tc>
        <w:tc>
          <w:tcPr>
            <w:tcW w:type="pct" w:w="28%"/>
            <w:tcMar>
              <w:top w:type="dxa" w:w="20"/>
              <w:left w:type="dxa" w:w="70"/>
              <w:bottom w:type="dxa" w:w="20"/>
              <w:right w:type="dxa" w:w="70"/>
            </w:tcMar>
          </w:tcPr>
          <w:p>
            <w:pPr>
              <w:spacing w:after="0" w:before="0" w:line="240"/>
              <w:jc w:val="left"/>
            </w:pPr>
            <w:r>
              <w:rPr>
                <w:b/>
                <w:bCs/>
                <w:i w:val="false"/>
                <w:iCs w:val="false"/>
                <w:color w:val="111111"/>
                <w:sz w:val="20"/>
                <w:szCs w:val="20"/>
              </w:rPr>
              <w:t xml:space="preserve">6e …………</w:t>
            </w:r>
          </w:p>
        </w:tc>
      </w:tr>
    </w:tbl>
    <w:p>
      <w:pPr>
        <w:spacing w:after="60"/>
      </w:pPr>
    </w:p>
    <w:p>
      <w:pPr>
        <w:keepNext w:val="false"/>
        <w:spacing w:after="45" w:before="95" w:line="360"/>
      </w:pPr>
      <w:r>
        <w:rPr>
          <w:b/>
          <w:bCs/>
          <w:color w:val="111111"/>
          <w:sz w:val="26"/>
          <w:szCs w:val="26"/>
        </w:rPr>
        <w:t xml:space="preserve">Les quatre questions</w:t>
      </w:r>
    </w:p>
    <w:p>
      <w:pPr>
        <w:keepNext w:val="false"/>
        <w:spacing w:after="50" w:line="360"/>
        <w:jc w:val="left"/>
      </w:pPr>
      <w:r>
        <w:rPr>
          <w:b w:val="false"/>
          <w:bCs w:val="false"/>
          <w:i w:val="false"/>
          <w:iCs w:val="false"/>
          <w:color w:val="111111"/>
          <w:sz w:val="22"/>
          <w:szCs w:val="22"/>
        </w:rPr>
        <w:t xml:space="preserve">Devant un problème, on ne se demande pas « quelle opération ? ». On se pose </w:t>
      </w:r>
      <w:r>
        <w:rPr>
          <w:b/>
          <w:bCs/>
          <w:i w:val="false"/>
          <w:iCs w:val="false"/>
          <w:color w:val="111111"/>
          <w:sz w:val="22"/>
          <w:szCs w:val="22"/>
        </w:rPr>
        <w:t xml:space="preserve">quatre questions, dans l'ordre</w:t>
      </w:r>
      <w:r>
        <w:rPr>
          <w:b w:val="false"/>
          <w:bCs w:val="false"/>
          <w:i w:val="false"/>
          <w:iCs w:val="false"/>
          <w:color w:val="111111"/>
          <w:sz w:val="22"/>
          <w:szCs w:val="22"/>
        </w:rPr>
        <w:t xml:space="preserve">. Tant qu'une question n'a pas de réponse, on ne passe pas à la suivante.</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Layout w:type="fixed"/>
      </w:tblPr>
      <w:tblGrid>
        <w:gridCol w:w="2081"/>
        <w:gridCol w:w="3973"/>
        <w:gridCol w:w="3406"/>
      </w:tblGrid>
      <w:tr>
        <w:trPr>
          <w:cantSplit/>
          <w:tblHeader/>
        </w:trPr>
        <w:tc>
          <w:tcPr>
            <w:tcW w:type="pct" w:w="22%"/>
            <w:shd w:fill="F2F2F2" w:color="auto" w:val="clear"/>
            <w:tcMar>
              <w:top w:type="dxa" w:w="20"/>
              <w:left w:type="dxa" w:w="70"/>
              <w:bottom w:type="dxa" w:w="20"/>
              <w:right w:type="dxa" w:w="70"/>
            </w:tcMar>
          </w:tcPr>
          <w:p>
            <w:pPr>
              <w:spacing w:after="0" w:before="0" w:line="240"/>
              <w:jc w:val="left"/>
            </w:pPr>
            <w:r>
              <w:rPr>
                <w:b/>
                <w:bCs/>
                <w:i w:val="false"/>
                <w:iCs w:val="false"/>
                <w:color w:val="111111"/>
                <w:sz w:val="20"/>
                <w:szCs w:val="20"/>
              </w:rPr>
              <w:t xml:space="preserve"/>
            </w:r>
          </w:p>
        </w:tc>
        <w:tc>
          <w:tcPr>
            <w:tcW w:type="pct" w:w="42%"/>
            <w:shd w:fill="F2F2F2" w:color="auto" w:val="clear"/>
            <w:tcMar>
              <w:top w:type="dxa" w:w="20"/>
              <w:left w:type="dxa" w:w="70"/>
              <w:bottom w:type="dxa" w:w="20"/>
              <w:right w:type="dxa" w:w="70"/>
            </w:tcMar>
          </w:tcPr>
          <w:p>
            <w:pPr>
              <w:spacing w:after="0" w:before="0" w:line="240"/>
              <w:jc w:val="left"/>
            </w:pPr>
            <w:r>
              <w:rPr>
                <w:b/>
                <w:bCs/>
                <w:i w:val="false"/>
                <w:iCs w:val="false"/>
                <w:color w:val="111111"/>
                <w:sz w:val="20"/>
                <w:szCs w:val="20"/>
              </w:rPr>
              <w:t xml:space="preserve">Je me demande…</w:t>
            </w:r>
          </w:p>
        </w:tc>
        <w:tc>
          <w:tcPr>
            <w:tcW w:type="pct" w:w="36%"/>
            <w:shd w:fill="F2F2F2" w:color="auto" w:val="clear"/>
            <w:tcMar>
              <w:top w:type="dxa" w:w="20"/>
              <w:left w:type="dxa" w:w="70"/>
              <w:bottom w:type="dxa" w:w="20"/>
              <w:right w:type="dxa" w:w="70"/>
            </w:tcMar>
          </w:tcPr>
          <w:p>
            <w:pPr>
              <w:spacing w:after="0" w:before="0" w:line="240"/>
              <w:jc w:val="left"/>
            </w:pPr>
            <w:r>
              <w:rPr>
                <w:b/>
                <w:bCs/>
                <w:i w:val="false"/>
                <w:iCs w:val="false"/>
                <w:color w:val="111111"/>
                <w:sz w:val="20"/>
                <w:szCs w:val="20"/>
              </w:rPr>
              <w:t xml:space="preserve">J'écris…</w:t>
            </w:r>
          </w:p>
        </w:tc>
      </w:tr>
      <w:tr>
        <w:trPr>
          <w:cantSplit/>
          <w:tblHeader w:val="false"/>
        </w:trPr>
        <w:tc>
          <w:tcPr>
            <w:tcW w:type="pct" w:w="22%"/>
            <w:tcMar>
              <w:top w:type="dxa" w:w="20"/>
              <w:left w:type="dxa" w:w="70"/>
              <w:bottom w:type="dxa" w:w="20"/>
              <w:right w:type="dxa" w:w="70"/>
            </w:tcMar>
          </w:tcPr>
          <w:p>
            <w:pPr>
              <w:spacing w:after="0" w:before="0" w:line="240"/>
              <w:jc w:val="left"/>
            </w:pPr>
            <w:r>
              <w:rPr>
                <w:b/>
                <w:bCs/>
                <w:i w:val="false"/>
                <w:iCs w:val="false"/>
                <w:color w:val="111111"/>
                <w:sz w:val="20"/>
                <w:szCs w:val="20"/>
              </w:rPr>
              <w:t xml:space="preserve">1. Je comprends</w:t>
            </w:r>
          </w:p>
        </w:tc>
        <w:tc>
          <w:tcPr>
            <w:tcW w:type="pct" w:w="42%"/>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De quoi parle l'histoire ? Qu'est-ce qu'on me demande ?</w:t>
            </w:r>
          </w:p>
        </w:tc>
        <w:tc>
          <w:tcPr>
            <w:tcW w:type="pct" w:w="36%"/>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l'histoire </w:t>
            </w:r>
            <w:r>
              <w:rPr>
                <w:b/>
                <w:bCs/>
                <w:i w:val="false"/>
                <w:iCs w:val="false"/>
                <w:color w:val="111111"/>
                <w:sz w:val="20"/>
                <w:szCs w:val="20"/>
              </w:rPr>
              <w:t xml:space="preserve">avec mes mots</w:t>
            </w:r>
            <w:r>
              <w:rPr>
                <w:b w:val="false"/>
                <w:bCs w:val="false"/>
                <w:i w:val="false"/>
                <w:iCs w:val="false"/>
                <w:color w:val="111111"/>
                <w:sz w:val="20"/>
                <w:szCs w:val="20"/>
              </w:rPr>
              <w:t xml:space="preserve">, sans les nombres</w:t>
            </w:r>
          </w:p>
        </w:tc>
      </w:tr>
      <w:tr>
        <w:trPr>
          <w:cantSplit/>
          <w:tblHeader w:val="false"/>
        </w:trPr>
        <w:tc>
          <w:tcPr>
            <w:tcW w:type="pct" w:w="22%"/>
            <w:tcMar>
              <w:top w:type="dxa" w:w="20"/>
              <w:left w:type="dxa" w:w="70"/>
              <w:bottom w:type="dxa" w:w="20"/>
              <w:right w:type="dxa" w:w="70"/>
            </w:tcMar>
          </w:tcPr>
          <w:p>
            <w:pPr>
              <w:spacing w:after="0" w:before="0" w:line="240"/>
              <w:jc w:val="left"/>
            </w:pPr>
            <w:r>
              <w:rPr>
                <w:b/>
                <w:bCs/>
                <w:i w:val="false"/>
                <w:iCs w:val="false"/>
                <w:color w:val="111111"/>
                <w:sz w:val="20"/>
                <w:szCs w:val="20"/>
              </w:rPr>
              <w:t xml:space="preserve">2. Je modélise</w:t>
            </w:r>
          </w:p>
        </w:tc>
        <w:tc>
          <w:tcPr>
            <w:tcW w:type="pct" w:w="42%"/>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Qu'est-ce que je connais ? Qu'est-ce que je cherche ?</w:t>
            </w:r>
          </w:p>
        </w:tc>
        <w:tc>
          <w:tcPr>
            <w:tcW w:type="pct" w:w="36%"/>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un </w:t>
            </w:r>
            <w:r>
              <w:rPr>
                <w:b/>
                <w:bCs/>
                <w:i w:val="false"/>
                <w:iCs w:val="false"/>
                <w:color w:val="111111"/>
                <w:sz w:val="20"/>
                <w:szCs w:val="20"/>
              </w:rPr>
              <w:t xml:space="preserve">schéma</w:t>
            </w:r>
            <w:r>
              <w:rPr>
                <w:b w:val="false"/>
                <w:bCs w:val="false"/>
                <w:i w:val="false"/>
                <w:iCs w:val="false"/>
                <w:color w:val="111111"/>
                <w:sz w:val="20"/>
                <w:szCs w:val="20"/>
              </w:rPr>
              <w:t xml:space="preserve">, puis l'opération</w:t>
            </w:r>
          </w:p>
        </w:tc>
      </w:tr>
      <w:tr>
        <w:trPr>
          <w:cantSplit/>
          <w:tblHeader w:val="false"/>
        </w:trPr>
        <w:tc>
          <w:tcPr>
            <w:tcW w:type="pct" w:w="22%"/>
            <w:tcMar>
              <w:top w:type="dxa" w:w="20"/>
              <w:left w:type="dxa" w:w="70"/>
              <w:bottom w:type="dxa" w:w="20"/>
              <w:right w:type="dxa" w:w="70"/>
            </w:tcMar>
          </w:tcPr>
          <w:p>
            <w:pPr>
              <w:spacing w:after="0" w:before="0" w:line="240"/>
              <w:jc w:val="left"/>
            </w:pPr>
            <w:r>
              <w:rPr>
                <w:b/>
                <w:bCs/>
                <w:i w:val="false"/>
                <w:iCs w:val="false"/>
                <w:color w:val="111111"/>
                <w:sz w:val="20"/>
                <w:szCs w:val="20"/>
              </w:rPr>
              <w:t xml:space="preserve">3. Je calcule</w:t>
            </w:r>
          </w:p>
        </w:tc>
        <w:tc>
          <w:tcPr>
            <w:tcW w:type="pct" w:w="42%"/>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Combien ça fait ?</w:t>
            </w:r>
          </w:p>
        </w:tc>
        <w:tc>
          <w:tcPr>
            <w:tcW w:type="pct" w:w="36%"/>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le calcul, posé ou en ligne</w:t>
            </w:r>
          </w:p>
        </w:tc>
      </w:tr>
      <w:tr>
        <w:trPr>
          <w:cantSplit/>
          <w:tblHeader w:val="false"/>
        </w:trPr>
        <w:tc>
          <w:tcPr>
            <w:tcW w:type="pct" w:w="22%"/>
            <w:tcMar>
              <w:top w:type="dxa" w:w="20"/>
              <w:left w:type="dxa" w:w="70"/>
              <w:bottom w:type="dxa" w:w="20"/>
              <w:right w:type="dxa" w:w="70"/>
            </w:tcMar>
          </w:tcPr>
          <w:p>
            <w:pPr>
              <w:spacing w:after="0" w:before="0" w:line="240"/>
              <w:jc w:val="left"/>
            </w:pPr>
            <w:r>
              <w:rPr>
                <w:b/>
                <w:bCs/>
                <w:i w:val="false"/>
                <w:iCs w:val="false"/>
                <w:color w:val="111111"/>
                <w:sz w:val="20"/>
                <w:szCs w:val="20"/>
              </w:rPr>
              <w:t xml:space="preserve">4. Je réponds</w:t>
            </w:r>
          </w:p>
        </w:tc>
        <w:tc>
          <w:tcPr>
            <w:tcW w:type="pct" w:w="42%"/>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Est-ce que ma réponse a un sens dans l'histoire ?</w:t>
            </w:r>
          </w:p>
        </w:tc>
        <w:tc>
          <w:tcPr>
            <w:tcW w:type="pct" w:w="36%"/>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une </w:t>
            </w:r>
            <w:r>
              <w:rPr>
                <w:b/>
                <w:bCs/>
                <w:i w:val="false"/>
                <w:iCs w:val="false"/>
                <w:color w:val="111111"/>
                <w:sz w:val="20"/>
                <w:szCs w:val="20"/>
              </w:rPr>
              <w:t xml:space="preserve">phrase</w:t>
            </w:r>
            <w:r>
              <w:rPr>
                <w:b w:val="false"/>
                <w:bCs w:val="false"/>
                <w:i w:val="false"/>
                <w:iCs w:val="false"/>
                <w:color w:val="111111"/>
                <w:sz w:val="20"/>
                <w:szCs w:val="20"/>
              </w:rPr>
              <w:t xml:space="preserve">, avec l'unité</w:t>
            </w:r>
          </w:p>
        </w:tc>
      </w:tr>
    </w:tbl>
    <w:p>
      <w:pPr>
        <w:spacing w:after="60"/>
      </w:pPr>
    </w:p>
    <w:p>
      <w:pPr>
        <w:keepNext w:val="false"/>
        <w:spacing w:after="50" w:line="360"/>
        <w:jc w:val="left"/>
      </w:pPr>
      <w:r>
        <w:rPr>
          <w:b/>
          <w:bCs/>
          <w:i w:val="false"/>
          <w:iCs w:val="false"/>
          <w:color w:val="111111"/>
          <w:sz w:val="22"/>
          <w:szCs w:val="22"/>
        </w:rPr>
        <w:t xml:space="preserve">La première est la plus importante, et c'est celle qu'on saute.</w:t>
      </w:r>
      <w:r>
        <w:rPr>
          <w:b w:val="false"/>
          <w:bCs w:val="false"/>
          <w:i w:val="false"/>
          <w:iCs w:val="false"/>
          <w:color w:val="111111"/>
          <w:sz w:val="22"/>
          <w:szCs w:val="22"/>
        </w:rPr>
        <w:t xml:space="preserve"> Si tu ne sais pas raconter l'histoire sans regarder la feuille, tu ne l'as pas comprise — et aucun calcul ne rattrapera ça.</w:t>
      </w:r>
    </w:p>
    <w:p>
      <w:pPr>
        <w:keepNext w:val="false"/>
        <w:spacing w:after="45" w:before="95" w:line="360"/>
      </w:pPr>
      <w:r>
        <w:rPr>
          <w:b/>
          <w:bCs/>
          <w:color w:val="111111"/>
          <w:sz w:val="26"/>
          <w:szCs w:val="26"/>
        </w:rPr>
        <w:t xml:space="preserve">Où j'ai buté</w:t>
      </w:r>
    </w:p>
    <w:p>
      <w:pPr>
        <w:keepNext w:val="false"/>
        <w:spacing w:after="50" w:line="360"/>
        <w:jc w:val="left"/>
      </w:pPr>
      <w:r>
        <w:rPr>
          <w:b w:val="false"/>
          <w:bCs w:val="false"/>
          <w:i w:val="false"/>
          <w:iCs w:val="false"/>
          <w:color w:val="111111"/>
          <w:sz w:val="22"/>
          <w:szCs w:val="22"/>
        </w:rPr>
        <w:t xml:space="preserve">Quand ça bloque, je coche </w:t>
      </w:r>
      <w:r>
        <w:rPr>
          <w:b/>
          <w:bCs/>
          <w:i w:val="false"/>
          <w:iCs w:val="false"/>
          <w:color w:val="111111"/>
          <w:sz w:val="22"/>
          <w:szCs w:val="22"/>
        </w:rPr>
        <w:t xml:space="preserve">une seule case</w:t>
      </w:r>
      <w:r>
        <w:rPr>
          <w:b w:val="false"/>
          <w:bCs w:val="false"/>
          <w:i w:val="false"/>
          <w:iCs w:val="false"/>
          <w:color w:val="111111"/>
          <w:sz w:val="22"/>
          <w:szCs w:val="22"/>
        </w:rPr>
        <w:t xml:space="preserve">. C'est ce que je dirai au professeur, et ce n'est pas la même aide selon la case.</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gridCol w:w="100"/>
        <w:gridCol w:w="100"/>
      </w:tblGrid>
      <w:tr>
        <w:trPr>
          <w:cantSplit/>
          <w:tblHeader/>
        </w:trPr>
        <w:tc>
          <w:tcPr>
            <w:shd w:fill="F2F2F2" w:color="auto" w:val="clear"/>
            <w:tcMar>
              <w:top w:type="dxa" w:w="20"/>
              <w:left w:type="dxa" w:w="70"/>
              <w:bottom w:type="dxa" w:w="20"/>
              <w:right w:type="dxa" w:w="70"/>
            </w:tcMar>
          </w:tcPr>
          <w:p>
            <w:pPr>
              <w:spacing w:after="0" w:before="0" w:line="240"/>
              <w:jc w:val="left"/>
            </w:pPr>
            <w:r>
              <w:rPr>
                <w:b/>
                <w:bCs/>
                <w:i w:val="false"/>
                <w:iCs w:val="false"/>
                <w:color w:val="111111"/>
                <w:sz w:val="20"/>
                <w:szCs w:val="20"/>
              </w:rPr>
              <w:t xml:space="preserve">Je comprends</w:t>
            </w:r>
          </w:p>
        </w:tc>
        <w:tc>
          <w:tcPr>
            <w:shd w:fill="F2F2F2" w:color="auto" w:val="clear"/>
            <w:tcMar>
              <w:top w:type="dxa" w:w="20"/>
              <w:left w:type="dxa" w:w="70"/>
              <w:bottom w:type="dxa" w:w="20"/>
              <w:right w:type="dxa" w:w="70"/>
            </w:tcMar>
          </w:tcPr>
          <w:p>
            <w:pPr>
              <w:spacing w:after="0" w:before="0" w:line="240"/>
              <w:jc w:val="left"/>
            </w:pPr>
            <w:r>
              <w:rPr>
                <w:b/>
                <w:bCs/>
                <w:i w:val="false"/>
                <w:iCs w:val="false"/>
                <w:color w:val="111111"/>
                <w:sz w:val="20"/>
                <w:szCs w:val="20"/>
              </w:rPr>
              <w:t xml:space="preserve">Je modélise</w:t>
            </w:r>
          </w:p>
        </w:tc>
        <w:tc>
          <w:tcPr>
            <w:shd w:fill="F2F2F2" w:color="auto" w:val="clear"/>
            <w:tcMar>
              <w:top w:type="dxa" w:w="20"/>
              <w:left w:type="dxa" w:w="70"/>
              <w:bottom w:type="dxa" w:w="20"/>
              <w:right w:type="dxa" w:w="70"/>
            </w:tcMar>
          </w:tcPr>
          <w:p>
            <w:pPr>
              <w:spacing w:after="0" w:before="0" w:line="240"/>
              <w:jc w:val="left"/>
            </w:pPr>
            <w:r>
              <w:rPr>
                <w:b/>
                <w:bCs/>
                <w:i w:val="false"/>
                <w:iCs w:val="false"/>
                <w:color w:val="111111"/>
                <w:sz w:val="20"/>
                <w:szCs w:val="20"/>
              </w:rPr>
              <w:t xml:space="preserve">Je calcule</w:t>
            </w:r>
          </w:p>
        </w:tc>
        <w:tc>
          <w:tcPr>
            <w:shd w:fill="F2F2F2" w:color="auto" w:val="clear"/>
            <w:tcMar>
              <w:top w:type="dxa" w:w="20"/>
              <w:left w:type="dxa" w:w="70"/>
              <w:bottom w:type="dxa" w:w="20"/>
              <w:right w:type="dxa" w:w="70"/>
            </w:tcMar>
          </w:tcPr>
          <w:p>
            <w:pPr>
              <w:spacing w:after="0" w:before="0" w:line="240"/>
              <w:jc w:val="left"/>
            </w:pPr>
            <w:r>
              <w:rPr>
                <w:b/>
                <w:bCs/>
                <w:i w:val="false"/>
                <w:iCs w:val="false"/>
                <w:color w:val="111111"/>
                <w:sz w:val="20"/>
                <w:szCs w:val="20"/>
              </w:rPr>
              <w:t xml:space="preserve">Je réponds</w:t>
            </w:r>
          </w:p>
        </w:tc>
      </w:tr>
      <w:tr>
        <w:trPr>
          <w:cantSplit/>
          <w:tblHeader w:val="false"/>
        </w:trPr>
        <w:tc>
          <w:tcPr>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w:t>
            </w:r>
          </w:p>
        </w:tc>
        <w:tc>
          <w:tcPr>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w:t>
            </w:r>
          </w:p>
        </w:tc>
        <w:tc>
          <w:tcPr>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w:t>
            </w:r>
          </w:p>
        </w:tc>
        <w:tc>
          <w:tcPr>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w:t>
            </w:r>
          </w:p>
        </w:tc>
      </w:tr>
      <w:tr>
        <w:trPr>
          <w:cantSplit/>
          <w:tblHeader w:val="false"/>
        </w:trPr>
        <w:tc>
          <w:tcPr>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je n'arrive pas à raconter l'histoire</w:t>
            </w:r>
          </w:p>
        </w:tc>
        <w:tc>
          <w:tcPr>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je raconte l'histoire, mais je ne sais pas quoi calculer</w:t>
            </w:r>
          </w:p>
        </w:tc>
        <w:tc>
          <w:tcPr>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je sais quoi faire, mon calcul est faux</w:t>
            </w:r>
          </w:p>
        </w:tc>
        <w:tc>
          <w:tcPr>
            <w:tcMar>
              <w:top w:type="dxa" w:w="20"/>
              <w:left w:type="dxa" w:w="70"/>
              <w:bottom w:type="dxa" w:w="20"/>
              <w:right w:type="dxa" w:w="70"/>
            </w:tcMar>
          </w:tcPr>
          <w:p>
            <w:pPr>
              <w:spacing w:after="0" w:before="0" w:line="240"/>
              <w:jc w:val="left"/>
            </w:pPr>
            <w:r>
              <w:rPr>
                <w:b w:val="false"/>
                <w:bCs w:val="false"/>
                <w:i w:val="false"/>
                <w:iCs w:val="false"/>
                <w:color w:val="111111"/>
                <w:sz w:val="20"/>
                <w:szCs w:val="20"/>
              </w:rPr>
              <w:t xml:space="preserve">j'ai un nombre, je ne sais pas quoi en dire</w:t>
            </w:r>
          </w:p>
        </w:tc>
      </w:tr>
    </w:tbl>
    <w:p>
      <w:pPr>
        <w:spacing w:after="60"/>
      </w:pPr>
    </w:p>
    <w:p>
      <w:pPr>
        <w:keepNext w:val="false"/>
        <w:spacing w:after="45" w:before="95" w:line="360"/>
      </w:pPr>
      <w:r>
        <w:rPr>
          <w:b/>
          <w:bCs/>
          <w:color w:val="111111"/>
          <w:sz w:val="26"/>
          <w:szCs w:val="26"/>
        </w:rPr>
        <w:t xml:space="preserve">Les schémas qui aident à modéliser</w:t>
      </w:r>
    </w:p>
    <w:p>
      <w:pPr>
        <w:keepNext w:val="false"/>
        <w:spacing w:after="50" w:line="360"/>
        <w:jc w:val="left"/>
      </w:pPr>
      <w:r>
        <w:rPr>
          <w:b w:val="false"/>
          <w:bCs w:val="false"/>
          <w:i w:val="false"/>
          <w:iCs w:val="false"/>
          <w:color w:val="111111"/>
          <w:sz w:val="22"/>
          <w:szCs w:val="22"/>
        </w:rPr>
        <w:t xml:space="preserve">Un schéma en barres ne calcule rien. Il montre </w:t>
      </w:r>
      <w:r>
        <w:rPr>
          <w:b/>
          <w:bCs/>
          <w:i w:val="false"/>
          <w:iCs w:val="false"/>
          <w:color w:val="111111"/>
          <w:sz w:val="22"/>
          <w:szCs w:val="22"/>
        </w:rPr>
        <w:t xml:space="preserve">ce que je connais</w:t>
      </w:r>
      <w:r>
        <w:rPr>
          <w:b w:val="false"/>
          <w:bCs w:val="false"/>
          <w:i w:val="false"/>
          <w:iCs w:val="false"/>
          <w:color w:val="111111"/>
          <w:sz w:val="22"/>
          <w:szCs w:val="22"/>
        </w:rPr>
        <w:t xml:space="preserve"> et </w:t>
      </w:r>
      <w:r>
        <w:rPr>
          <w:b/>
          <w:bCs/>
          <w:i w:val="false"/>
          <w:iCs w:val="false"/>
          <w:color w:val="111111"/>
          <w:sz w:val="22"/>
          <w:szCs w:val="22"/>
        </w:rPr>
        <w:t xml:space="preserve">ce que je cherche</w:t>
      </w:r>
      <w:r>
        <w:rPr>
          <w:b w:val="false"/>
          <w:bCs w:val="false"/>
          <w:i w:val="false"/>
          <w:iCs w:val="false"/>
          <w:color w:val="111111"/>
          <w:sz w:val="22"/>
          <w:szCs w:val="22"/>
        </w:rPr>
        <w:t xml:space="preserve"> — et l'opération devient visible.</w:t>
      </w:r>
    </w:p>
    <w:p>
      <w:pPr>
        <w:keepNext w:val="false"/>
        <w:spacing w:after="50" w:line="360"/>
        <w:jc w:val="left"/>
      </w:pPr>
      <w:r>
        <w:rPr>
          <w:b/>
          <w:bCs/>
          <w:i w:val="false"/>
          <w:iCs w:val="false"/>
          <w:color w:val="111111"/>
          <w:sz w:val="22"/>
          <w:szCs w:val="22"/>
        </w:rPr>
        <w:t xml:space="preserve">Le tout et ses parties.</w:t>
      </w:r>
      <w:r>
        <w:rPr>
          <w:b w:val="false"/>
          <w:bCs w:val="false"/>
          <w:i w:val="false"/>
          <w:iCs w:val="false"/>
          <w:color w:val="111111"/>
          <w:sz w:val="22"/>
          <w:szCs w:val="22"/>
        </w:rPr>
        <w:t xml:space="preserve"> Je connais le tout et une partie, je cherche l'autre.</w:t>
      </w:r>
    </w:p>
    <w:p>
      <w:pPr>
        <w:spacing w:after="110" w:before="90"/>
        <w:jc w:val="center"/>
      </w:pPr>
      <w:r>
        <w:drawing>
          <wp:inline distT="0" distB="0" distL="0" distR="0">
            <wp:extent cx="3962400" cy="1362075"/>
            <wp:effectExtent t="0" r="0" b="0" l="0"/>
            <wp:docPr id="1" name="BARRE-PARTIES-TOUT.png" descr="Un schéma en barres. Une barre est partagée en deux cases : la première porte 258, la seconde un point d'interrogation. Une accolade au-dessus embrasse les deux cases et porte 420. On connaît le tout et une partie, on cherche l'autre." title="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3962400" cy="1362075"/>
                    </a:xfrm>
                    <a:prstGeom prst="rect">
                      <a:avLst/>
                    </a:prstGeom>
                  </pic:spPr>
                </pic:pic>
              </a:graphicData>
            </a:graphic>
          </wp:inline>
        </w:drawing>
      </w:r>
    </w:p>
    <w:p>
      <w:pPr>
        <w:keepNext w:val="false"/>
        <w:spacing w:after="50" w:line="360"/>
        <w:jc w:val="left"/>
      </w:pPr>
      <w:r>
        <w:rPr>
          <w:b/>
          <w:bCs/>
          <w:i w:val="false"/>
          <w:iCs w:val="false"/>
          <w:color w:val="111111"/>
          <w:sz w:val="22"/>
          <w:szCs w:val="22"/>
        </w:rPr>
        <w:t xml:space="preserve">Ce qui change.</w:t>
      </w:r>
      <w:r>
        <w:rPr>
          <w:b w:val="false"/>
          <w:bCs w:val="false"/>
          <w:i w:val="false"/>
          <w:iCs w:val="false"/>
          <w:color w:val="111111"/>
          <w:sz w:val="22"/>
          <w:szCs w:val="22"/>
        </w:rPr>
        <w:t xml:space="preserve"> Je pars d'une quantité, elle augmente ou elle diminue.</w:t>
      </w:r>
    </w:p>
    <w:p>
      <w:pPr>
        <w:spacing w:after="110" w:before="90"/>
        <w:jc w:val="center"/>
      </w:pPr>
      <w:r>
        <w:drawing>
          <wp:inline distT="0" distB="0" distL="0" distR="0">
            <wp:extent cx="3962400" cy="1362075"/>
            <wp:effectExtent t="0" r="0" b="0" l="0"/>
            <wp:docPr id="1" name="BARRE-TRANSFORMATION.png" descr="Un schéma en barres. Une barre est partagée en deux cases : la première porte 145, la seconde plus 78. Une accolade au-dessous embrasse les deux cases et porte un point d'interrogation. On part d'un état, on ajoute, on cherche l'état d'arrivée." title="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962400" cy="1362075"/>
                    </a:xfrm>
                    <a:prstGeom prst="rect">
                      <a:avLst/>
                    </a:prstGeom>
                  </pic:spPr>
                </pic:pic>
              </a:graphicData>
            </a:graphic>
          </wp:inline>
        </w:drawing>
      </w:r>
    </w:p>
    <w:p>
      <w:pPr>
        <w:keepNext w:val="false"/>
        <w:spacing w:after="50" w:line="360"/>
        <w:jc w:val="left"/>
      </w:pPr>
      <w:r>
        <w:rPr>
          <w:b/>
          <w:bCs/>
          <w:i w:val="false"/>
          <w:iCs w:val="false"/>
          <w:color w:val="111111"/>
          <w:sz w:val="22"/>
          <w:szCs w:val="22"/>
        </w:rPr>
        <w:t xml:space="preserve">L'écart entre deux quantités.</w:t>
      </w:r>
      <w:r>
        <w:rPr>
          <w:b w:val="false"/>
          <w:bCs w:val="false"/>
          <w:i w:val="false"/>
          <w:iCs w:val="false"/>
          <w:color w:val="111111"/>
          <w:sz w:val="22"/>
          <w:szCs w:val="22"/>
        </w:rPr>
        <w:t xml:space="preserve"> Une barre plus longue que l'autre : la différence se voit.</w:t>
      </w:r>
    </w:p>
    <w:p>
      <w:pPr>
        <w:spacing w:after="110" w:before="90"/>
        <w:jc w:val="center"/>
      </w:pPr>
      <w:r>
        <w:drawing>
          <wp:inline distT="0" distB="0" distL="0" distR="0">
            <wp:extent cx="4029075" cy="2105025"/>
            <wp:effectExtent t="0" r="0" b="0" l="0"/>
            <wp:docPr id="1" name="BARRE-COMPARAISON.png" descr="Un schéma en barres à deux lignes. La ligne des garçons est une case portant un point d'interrogation. La ligne des filles reprend la même case, suivie d'une case plus courte portant 6 : c'est l'écart. Une accolade au-dessous des deux lignes porte 32 élèves en tout." title="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4029075" cy="2105025"/>
                    </a:xfrm>
                    <a:prstGeom prst="rect">
                      <a:avLst/>
                    </a:prstGeom>
                  </pic:spPr>
                </pic:pic>
              </a:graphicData>
            </a:graphic>
          </wp:inline>
        </w:drawing>
      </w:r>
    </w:p>
    <w:p>
      <w:pPr>
        <w:keepNext w:val="false"/>
        <w:spacing w:after="50" w:line="360"/>
        <w:jc w:val="left"/>
      </w:pPr>
      <w:r>
        <w:rPr>
          <w:b/>
          <w:bCs/>
          <w:i w:val="false"/>
          <w:iCs w:val="false"/>
          <w:color w:val="111111"/>
          <w:sz w:val="22"/>
          <w:szCs w:val="22"/>
        </w:rPr>
        <w:t xml:space="preserve">Des groupes tous égaux.</w:t>
      </w:r>
      <w:r>
        <w:rPr>
          <w:b w:val="false"/>
          <w:bCs w:val="false"/>
          <w:i w:val="false"/>
          <w:iCs w:val="false"/>
          <w:color w:val="111111"/>
          <w:sz w:val="22"/>
          <w:szCs w:val="22"/>
        </w:rPr>
        <w:t xml:space="preserve"> Je connais un groupe et leur nombre, je cherche le tout.</w:t>
      </w:r>
    </w:p>
    <w:p>
      <w:pPr>
        <w:spacing w:after="110" w:before="90"/>
        <w:jc w:val="center"/>
      </w:pPr>
      <w:r>
        <w:drawing>
          <wp:inline distT="0" distB="0" distL="0" distR="0">
            <wp:extent cx="3962400" cy="1362075"/>
            <wp:effectExtent t="0" r="0" b="0" l="0"/>
            <wp:docPr id="1" name="BARRE-GROUPEMENT.png" descr="Un schéma en barres. Une barre est partagée en cinq cases de même largeur, portant chacune 6. Une accolade au-dessus embrasse les cinq cases et porte un point d'interrogation. On connaît la valeur d'un groupe et leur nombre, on cherche le tout." title="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3962400" cy="1362075"/>
                    </a:xfrm>
                    <a:prstGeom prst="rect">
                      <a:avLst/>
                    </a:prstGeom>
                  </pic:spPr>
                </pic:pic>
              </a:graphicData>
            </a:graphic>
          </wp:inline>
        </w:drawing>
      </w:r>
    </w:p>
    <w:p>
      <w:pPr>
        <w:keepNext w:val="false"/>
        <w:spacing w:after="50" w:line="360"/>
        <w:jc w:val="left"/>
      </w:pPr>
      <w:r>
        <w:rPr>
          <w:b/>
          <w:bCs/>
          <w:i w:val="false"/>
          <w:iCs w:val="false"/>
          <w:color w:val="111111"/>
          <w:sz w:val="22"/>
          <w:szCs w:val="22"/>
        </w:rPr>
        <w:t xml:space="preserve">Partager en parts égales.</w:t>
      </w:r>
      <w:r>
        <w:rPr>
          <w:b w:val="false"/>
          <w:bCs w:val="false"/>
          <w:i w:val="false"/>
          <w:iCs w:val="false"/>
          <w:color w:val="111111"/>
          <w:sz w:val="22"/>
          <w:szCs w:val="22"/>
        </w:rPr>
        <w:t xml:space="preserve"> Je connais le tout et le nombre de parts, je cherche une part.</w:t>
      </w:r>
    </w:p>
    <w:p>
      <w:pPr>
        <w:spacing w:after="110" w:before="90"/>
        <w:jc w:val="center"/>
      </w:pPr>
      <w:r>
        <w:drawing>
          <wp:inline distT="0" distB="0" distL="0" distR="0">
            <wp:extent cx="3962400" cy="1362075"/>
            <wp:effectExtent t="0" r="0" b="0" l="0"/>
            <wp:docPr id="1" name="BARRE-PARTAGE.png" descr="Un schéma en barres. Une accolade au-dessus porte 250 et embrasse toute la barre. La barre est partagée en cinq cases de même largeur, portant chacune un point d'interrogation. On connaît le tout et le nombre de parts, on cherche une part." title="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3962400" cy="1362075"/>
                    </a:xfrm>
                    <a:prstGeom prst="rect">
                      <a:avLst/>
                    </a:prstGeom>
                  </pic:spPr>
                </pic:pic>
              </a:graphicData>
            </a:graphic>
          </wp:inline>
        </w:drawing>
      </w:r>
    </w:p>
    <w:p>
      <w:pPr>
        <w:keepNext w:val="false"/>
        <w:spacing w:after="50" w:line="360"/>
        <w:jc w:val="left"/>
      </w:pPr>
      <w:r>
        <w:rPr>
          <w:b/>
          <w:bCs/>
          <w:i w:val="false"/>
          <w:iCs w:val="false"/>
          <w:color w:val="111111"/>
          <w:sz w:val="22"/>
          <w:szCs w:val="22"/>
        </w:rPr>
        <w:t xml:space="preserve">Deux étapes.</w:t>
      </w:r>
      <w:r>
        <w:rPr>
          <w:b w:val="false"/>
          <w:bCs w:val="false"/>
          <w:i w:val="false"/>
          <w:iCs w:val="false"/>
          <w:color w:val="111111"/>
          <w:sz w:val="22"/>
          <w:szCs w:val="22"/>
        </w:rPr>
        <w:t xml:space="preserve"> Le résultat de la première étape sert à la seconde. Je réponds à la première question avant de lire la seconde.</w:t>
      </w:r>
    </w:p>
    <w:p>
      <w:pPr>
        <w:spacing w:after="110" w:before="90"/>
        <w:jc w:val="center"/>
      </w:pPr>
      <w:r>
        <w:drawing>
          <wp:inline distT="0" distB="0" distL="0" distR="0">
            <wp:extent cx="4029075" cy="2533650"/>
            <wp:effectExtent t="0" r="0" b="0" l="0"/>
            <wp:docPr id="1" name="BARRE-DEUX-ETAPES.png" descr="Un schéma en barres à deux lignes. La première ligne porte quatre cases égales de 12 euros, avec une accolade au-dessous qui porte un point d'interrogation : c'est la première étape. La seconde ligne porte une case de 50 euros partagée en deux : la dépense, et la monnaie rendue, marquée d'un point d'interrogation." title="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4029075" cy="2533650"/>
                    </a:xfrm>
                    <a:prstGeom prst="rect">
                      <a:avLst/>
                    </a:prstGeom>
                  </pic:spPr>
                </pic:pic>
              </a:graphicData>
            </a:graphic>
          </wp:inline>
        </w:drawing>
      </w:r>
    </w:p>
    <w:p>
      <w:pPr>
        <w:keepNext w:val="false"/>
        <w:spacing w:after="45" w:before="95" w:line="360"/>
      </w:pPr>
      <w:r>
        <w:rPr>
          <w:b/>
          <w:bCs/>
          <w:color w:val="111111"/>
          <w:sz w:val="26"/>
          <w:szCs w:val="26"/>
        </w:rPr>
        <w:t xml:space="preserve">Deux réflexes qui rattrapent presque tout</w:t>
      </w:r>
    </w:p>
    <w:p>
      <w:pPr>
        <w:keepNext w:val="false"/>
        <w:spacing w:after="50" w:line="360"/>
        <w:jc w:val="left"/>
      </w:pPr>
      <w:r>
        <w:rPr>
          <w:b/>
          <w:bCs/>
          <w:i w:val="false"/>
          <w:iCs w:val="false"/>
          <w:color w:val="111111"/>
          <w:sz w:val="22"/>
          <w:szCs w:val="22"/>
        </w:rPr>
        <w:t xml:space="preserve">Avant de calculer : à peu près combien ?</w:t>
      </w:r>
      <w:r>
        <w:rPr>
          <w:b w:val="false"/>
          <w:bCs w:val="false"/>
          <w:i w:val="false"/>
          <w:iCs w:val="false"/>
          <w:color w:val="111111"/>
          <w:sz w:val="22"/>
          <w:szCs w:val="22"/>
        </w:rPr>
        <w:t xml:space="preserve"> Si je pense « à peu près 12 € » et que je trouve 120 €, je sais que quelque chose ne va pas, sans même relire mon calcul.</w:t>
      </w:r>
    </w:p>
    <w:p>
      <w:pPr>
        <w:keepNext w:val="false"/>
        <w:spacing w:after="50" w:line="360"/>
        <w:jc w:val="left"/>
      </w:pPr>
      <w:r>
        <w:rPr>
          <w:b/>
          <w:bCs/>
          <w:i w:val="false"/>
          <w:iCs w:val="false"/>
          <w:color w:val="111111"/>
          <w:sz w:val="22"/>
          <w:szCs w:val="22"/>
        </w:rPr>
        <w:t xml:space="preserve">Après avoir calculé : une phrase.</w:t>
      </w:r>
      <w:r>
        <w:rPr>
          <w:b w:val="false"/>
          <w:bCs w:val="false"/>
          <w:i w:val="false"/>
          <w:iCs w:val="false"/>
          <w:color w:val="111111"/>
          <w:sz w:val="22"/>
          <w:szCs w:val="22"/>
        </w:rPr>
        <w:t xml:space="preserve"> </w:t>
      </w:r>
      <w:r>
        <w:rPr>
          <w:b w:val="false"/>
          <w:bCs w:val="false"/>
          <w:i/>
          <w:iCs/>
          <w:color w:val="111111"/>
          <w:sz w:val="22"/>
          <w:szCs w:val="22"/>
        </w:rPr>
        <w:t xml:space="preserve">37,75</w:t>
      </w:r>
      <w:r>
        <w:rPr>
          <w:b w:val="false"/>
          <w:bCs w:val="false"/>
          <w:i w:val="false"/>
          <w:iCs w:val="false"/>
          <w:color w:val="111111"/>
          <w:sz w:val="22"/>
          <w:szCs w:val="22"/>
        </w:rPr>
        <w:t xml:space="preserve"> n'est pas une réponse. </w:t>
      </w:r>
      <w:r>
        <w:rPr>
          <w:b w:val="false"/>
          <w:bCs w:val="false"/>
          <w:i/>
          <w:iCs/>
          <w:color w:val="111111"/>
          <w:sz w:val="22"/>
          <w:szCs w:val="22"/>
        </w:rPr>
        <w:t xml:space="preserve">« Il reste 37,75 € à Aya »</w:t>
      </w:r>
      <w:r>
        <w:rPr>
          <w:b w:val="false"/>
          <w:bCs w:val="false"/>
          <w:i w:val="false"/>
          <w:iCs w:val="false"/>
          <w:color w:val="111111"/>
          <w:sz w:val="22"/>
          <w:szCs w:val="22"/>
        </w:rPr>
        <w:t xml:space="preserve"> en est une : il y a l'unité, et il y a l'histoire.</w:t>
      </w:r>
    </w:p>
    <w:p>
      <w:pPr>
        <w:keepNext w:val="false"/>
        <w:spacing w:after="45" w:before="95" w:line="360"/>
      </w:pPr>
      <w:r>
        <w:rPr>
          <w:b/>
          <w:bCs/>
          <w:color w:val="111111"/>
          <w:sz w:val="26"/>
          <w:szCs w:val="26"/>
        </w:rPr>
        <w:t xml:space="preserve">Attention aux mots qui trompent</w:t>
      </w:r>
    </w:p>
    <w:p>
      <w:pPr>
        <w:keepNext w:val="false"/>
        <w:spacing w:after="50" w:line="360"/>
        <w:jc w:val="left"/>
      </w:pPr>
      <w:r>
        <w:rPr>
          <w:b w:val="false"/>
          <w:bCs w:val="false"/>
          <w:i w:val="false"/>
          <w:iCs w:val="false"/>
          <w:color w:val="111111"/>
          <w:sz w:val="22"/>
          <w:szCs w:val="22"/>
        </w:rPr>
        <w:t xml:space="preserve">Un mot de l'énoncé n'annonce pas l'opération. </w:t>
      </w:r>
      <w:r>
        <w:rPr>
          <w:b/>
          <w:bCs/>
          <w:i w:val="false"/>
          <w:iCs w:val="false"/>
          <w:color w:val="111111"/>
          <w:sz w:val="22"/>
          <w:szCs w:val="22"/>
        </w:rPr>
        <w:t xml:space="preserve">Il faut lire jusqu'au bout.</w:t>
      </w:r>
    </w:p>
    <w:p>
      <w:pPr>
        <w:pStyle w:val="ListParagraph"/>
        <w:numPr>
          <w:ilvl w:val="0"/>
          <w:numId w:val="1"/>
        </w:numPr>
        <w:spacing w:after="40" w:line="360"/>
      </w:pPr>
      <w:r>
        <w:rPr>
          <w:b w:val="false"/>
          <w:bCs w:val="false"/>
          <w:i/>
          <w:iCs/>
          <w:color w:val="111111"/>
          <w:sz w:val="22"/>
          <w:szCs w:val="22"/>
        </w:rPr>
        <w:t xml:space="preserve">« Marc a 6 billes de </w:t>
      </w:r>
      <w:r>
        <w:rPr>
          <w:b w:val="false"/>
          <w:bCs w:val="false"/>
          <w:i/>
          <w:iCs/>
          <w:color w:val="111111"/>
          <w:sz w:val="22"/>
          <w:szCs w:val="22"/>
        </w:rPr>
        <w:t xml:space="preserve">plus</w:t>
      </w:r>
      <w:r>
        <w:rPr>
          <w:b w:val="false"/>
          <w:bCs w:val="false"/>
          <w:i/>
          <w:iCs/>
          <w:color w:val="111111"/>
          <w:sz w:val="22"/>
          <w:szCs w:val="22"/>
        </w:rPr>
        <w:t xml:space="preserve"> que Léa »</w:t>
      </w:r>
      <w:r>
        <w:rPr>
          <w:b w:val="false"/>
          <w:bCs w:val="false"/>
          <w:i w:val="false"/>
          <w:iCs w:val="false"/>
          <w:color w:val="111111"/>
          <w:sz w:val="22"/>
          <w:szCs w:val="22"/>
        </w:rPr>
        <w:t xml:space="preserve"> — pour trouver ce que Léa a, on </w:t>
      </w:r>
      <w:r>
        <w:rPr>
          <w:b/>
          <w:bCs/>
          <w:i w:val="false"/>
          <w:iCs w:val="false"/>
          <w:color w:val="111111"/>
          <w:sz w:val="22"/>
          <w:szCs w:val="22"/>
        </w:rPr>
        <w:t xml:space="preserve">soustrait</w:t>
      </w:r>
      <w:r>
        <w:rPr>
          <w:b w:val="false"/>
          <w:bCs w:val="false"/>
          <w:i w:val="false"/>
          <w:iCs w:val="false"/>
          <w:color w:val="111111"/>
          <w:sz w:val="22"/>
          <w:szCs w:val="22"/>
        </w:rPr>
        <w:t xml:space="preserve">.</w:t>
      </w:r>
    </w:p>
    <w:p>
      <w:pPr>
        <w:pStyle w:val="ListParagraph"/>
        <w:numPr>
          <w:ilvl w:val="0"/>
          <w:numId w:val="1"/>
        </w:numPr>
        <w:spacing w:after="40" w:line="360"/>
      </w:pPr>
      <w:r>
        <w:rPr>
          <w:b w:val="false"/>
          <w:bCs w:val="false"/>
          <w:i/>
          <w:iCs/>
          <w:color w:val="111111"/>
          <w:sz w:val="22"/>
          <w:szCs w:val="22"/>
        </w:rPr>
        <w:t xml:space="preserve">« Le sac pèse 0,8 kg de </w:t>
      </w:r>
      <w:r>
        <w:rPr>
          <w:b w:val="false"/>
          <w:bCs w:val="false"/>
          <w:i/>
          <w:iCs/>
          <w:color w:val="111111"/>
          <w:sz w:val="22"/>
          <w:szCs w:val="22"/>
        </w:rPr>
        <w:t xml:space="preserve">moins</w:t>
      </w:r>
      <w:r>
        <w:rPr>
          <w:b w:val="false"/>
          <w:bCs w:val="false"/>
          <w:i/>
          <w:iCs/>
          <w:color w:val="111111"/>
          <w:sz w:val="22"/>
          <w:szCs w:val="22"/>
        </w:rPr>
        <w:t xml:space="preserve"> que l'autre »</w:t>
      </w:r>
      <w:r>
        <w:rPr>
          <w:b w:val="false"/>
          <w:bCs w:val="false"/>
          <w:i w:val="false"/>
          <w:iCs w:val="false"/>
          <w:color w:val="111111"/>
          <w:sz w:val="22"/>
          <w:szCs w:val="22"/>
        </w:rPr>
        <w:t xml:space="preserve"> — pour trouver l'autre, on </w:t>
      </w:r>
      <w:r>
        <w:rPr>
          <w:b/>
          <w:bCs/>
          <w:i w:val="false"/>
          <w:iCs w:val="false"/>
          <w:color w:val="111111"/>
          <w:sz w:val="22"/>
          <w:szCs w:val="22"/>
        </w:rPr>
        <w:t xml:space="preserve">ajoute</w:t>
      </w:r>
      <w:r>
        <w:rPr>
          <w:b w:val="false"/>
          <w:bCs w:val="false"/>
          <w:i w:val="false"/>
          <w:iCs w:val="false"/>
          <w:color w:val="111111"/>
          <w:sz w:val="22"/>
          <w:szCs w:val="22"/>
        </w:rPr>
        <w:t xml:space="preserve">.</w:t>
      </w:r>
    </w:p>
    <w:p>
      <w:pPr>
        <w:pStyle w:val="ListParagraph"/>
        <w:numPr>
          <w:ilvl w:val="0"/>
          <w:numId w:val="1"/>
        </w:numPr>
        <w:spacing w:after="40" w:line="360"/>
      </w:pPr>
      <w:r>
        <w:rPr>
          <w:b w:val="false"/>
          <w:bCs w:val="false"/>
          <w:i/>
          <w:iCs/>
          <w:color w:val="111111"/>
          <w:sz w:val="22"/>
          <w:szCs w:val="22"/>
        </w:rPr>
        <w:t xml:space="preserve">« Il </w:t>
      </w:r>
      <w:r>
        <w:rPr>
          <w:b w:val="false"/>
          <w:bCs w:val="false"/>
          <w:i/>
          <w:iCs/>
          <w:color w:val="111111"/>
          <w:sz w:val="22"/>
          <w:szCs w:val="22"/>
        </w:rPr>
        <w:t xml:space="preserve">reste</w:t>
      </w:r>
      <w:r>
        <w:rPr>
          <w:b w:val="false"/>
          <w:bCs w:val="false"/>
          <w:i/>
          <w:iCs/>
          <w:color w:val="111111"/>
          <w:sz w:val="22"/>
          <w:szCs w:val="22"/>
        </w:rPr>
        <w:t xml:space="preserve"> 12 élèves »</w:t>
      </w:r>
      <w:r>
        <w:rPr>
          <w:b w:val="false"/>
          <w:bCs w:val="false"/>
          <w:i w:val="false"/>
          <w:iCs w:val="false"/>
          <w:color w:val="111111"/>
          <w:sz w:val="22"/>
          <w:szCs w:val="22"/>
        </w:rPr>
        <w:t xml:space="preserve"> — parfois on ajoute pour retrouver le départ.</w:t>
      </w:r>
    </w:p>
    <w:p>
      <w:pPr>
        <w:keepNext w:val="false"/>
        <w:spacing w:after="50" w:line="360"/>
        <w:jc w:val="left"/>
      </w:pPr>
      <w:r>
        <w:rPr>
          <w:b w:val="false"/>
          <w:bCs w:val="false"/>
          <w:i w:val="false"/>
          <w:iCs w:val="false"/>
          <w:color w:val="111111"/>
          <w:sz w:val="22"/>
          <w:szCs w:val="22"/>
        </w:rPr>
        <w:t xml:space="preserve">Le schéma tranche : quand je l'ai dessiné, je vois de quel côté est le plus grand.</w:t>
      </w:r>
    </w:p>
    <w:p>
      <w:pPr>
        <w:keepNext w:val="false"/>
        <w:spacing w:after="45" w:before="95" w:line="360"/>
      </w:pPr>
      <w:r>
        <w:rPr>
          <w:b/>
          <w:bCs/>
          <w:color w:val="111111"/>
          <w:sz w:val="26"/>
          <w:szCs w:val="26"/>
        </w:rPr>
        <w:t xml:space="preserve">Et si un nombre ne sert à rien ?</w:t>
      </w:r>
    </w:p>
    <w:p>
      <w:pPr>
        <w:keepNext w:val="false"/>
        <w:spacing w:after="50" w:line="360"/>
        <w:jc w:val="left"/>
      </w:pPr>
      <w:r>
        <w:rPr>
          <w:b w:val="false"/>
          <w:bCs w:val="false"/>
          <w:i w:val="false"/>
          <w:iCs w:val="false"/>
          <w:color w:val="111111"/>
          <w:sz w:val="22"/>
          <w:szCs w:val="22"/>
        </w:rPr>
        <w:t xml:space="preserve">Ça arrive, et c'est normal. </w:t>
      </w:r>
      <w:r>
        <w:rPr>
          <w:b/>
          <w:bCs/>
          <w:i w:val="false"/>
          <w:iCs w:val="false"/>
          <w:color w:val="111111"/>
          <w:sz w:val="22"/>
          <w:szCs w:val="22"/>
        </w:rPr>
        <w:t xml:space="preserve">Un énoncé n'est pas une liste de nombres à utiliser.</w:t>
      </w:r>
      <w:r>
        <w:rPr>
          <w:b w:val="false"/>
          <w:bCs w:val="false"/>
          <w:i w:val="false"/>
          <w:iCs w:val="false"/>
          <w:color w:val="111111"/>
          <w:sz w:val="22"/>
          <w:szCs w:val="22"/>
        </w:rPr>
        <w:t xml:space="preserve"> Si la question porte sur les demi-pensionnaires, le nombre de salles de classe ne sert à rien : il faut oser le laisser de côté.</w:t>
      </w:r>
    </w:p>
    <w:sectPr>
      <w:pgSz w:w="11906" w:h="16838" w:orient="portrait"/>
      <w:pgMar w:top="737" w:right="793" w:bottom="737" w:left="793"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11111"/>
        <w:sz w:val="22"/>
        <w:szCs w:val="22"/>
      </w:rPr>
    </w:rPrDefault>
    <w:pPrDefault>
      <w:pPr>
        <w:spacing w:line="36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da019b0853cc5042a26a1fd8d0414c6f0a364789.undefined"/><Relationship Id="rId8" Type="http://schemas.openxmlformats.org/officeDocument/2006/relationships/image" Target="media/f0abf53a67fbed40f80584dcc15363fa35763000.undefined"/><Relationship Id="rId9" Type="http://schemas.openxmlformats.org/officeDocument/2006/relationships/image" Target="media/9cf55f8baacad9d24e9388a1b78ae654163aed9a.undefined"/><Relationship Id="rId10" Type="http://schemas.openxmlformats.org/officeDocument/2006/relationships/image" Target="media/d1ec49d6b8aa32c8b3bd6493655be339b2754185.undefined"/><Relationship Id="rId11" Type="http://schemas.openxmlformats.org/officeDocument/2006/relationships/image" Target="media/3c6d9864154474390ff80b840ed08e6f6214ca77.undefined"/><Relationship Id="rId12" Type="http://schemas.openxmlformats.org/officeDocument/2006/relationships/image" Target="media/9b6896d2b30a7c6f5a24895fc9e2be5db7babf0a.undefined"/><Relationship Id="rId13"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Résolution de problèmes 1 — je résous un problème — fiche méthode (élève)</dc:title>
  <dc:creator>Fabunia</dc:creator>
  <dc:description>Résolution de problèmes 1 — 6e</dc:description>
  <cp:lastModifiedBy>Un-named</cp:lastModifiedBy>
  <cp:revision>1</cp:revision>
  <dcterms:created xsi:type="dcterms:W3CDTF">2026-09-13T19:56:41.400Z</dcterms:created>
  <dcterms:modified xsi:type="dcterms:W3CDTF">2026-09-13T19:56:41.407Z</dcterms:modified>
</cp:coreProperties>
</file>

<file path=docProps/custom.xml><?xml version="1.0" encoding="utf-8"?>
<Properties xmlns="http://schemas.openxmlformats.org/officeDocument/2006/custom-properties" xmlns:vt="http://schemas.openxmlformats.org/officeDocument/2006/docPropsVTypes"/>
</file>